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B9" w:rsidRDefault="00B75DB9" w:rsidP="00B75DB9">
      <w:pPr>
        <w:autoSpaceDE w:val="0"/>
        <w:autoSpaceDN w:val="0"/>
        <w:adjustRightInd w:val="0"/>
        <w:spacing w:line="20" w:lineRule="exact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B75DB9" w:rsidRDefault="00B75DB9" w:rsidP="00B75DB9">
      <w:pPr>
        <w:autoSpaceDE w:val="0"/>
        <w:autoSpaceDN w:val="0"/>
        <w:adjustRightInd w:val="0"/>
        <w:spacing w:line="20" w:lineRule="exact"/>
        <w:jc w:val="center"/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</w:pPr>
      <w:r>
        <w:rPr>
          <w:rFonts w:ascii="方正小标宋_GBK" w:eastAsia="方正小标宋_GBK"/>
          <w:color w:val="000000"/>
          <w:spacing w:val="-6"/>
          <w:kern w:val="0"/>
          <w:sz w:val="2"/>
          <w:szCs w:val="24"/>
        </w:rPr>
        <w:t xml:space="preserve"> 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黑体_GBK" w:eastAsia="方正黑体_GBK" w:hint="eastAsia"/>
          <w:color w:val="000000"/>
          <w:spacing w:val="-6"/>
          <w:kern w:val="0"/>
          <w:sz w:val="32"/>
          <w:szCs w:val="24"/>
        </w:rPr>
        <w:t>附件1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</w:p>
    <w:p w:rsidR="000803AE" w:rsidRDefault="000803AE" w:rsidP="000803AE">
      <w:pPr>
        <w:autoSpaceDE w:val="0"/>
        <w:autoSpaceDN w:val="0"/>
        <w:adjustRightInd w:val="0"/>
        <w:spacing w:line="671" w:lineRule="exact"/>
        <w:jc w:val="center"/>
        <w:rPr>
          <w:rFonts w:ascii="方正小标宋_GBK" w:eastAsia="方正小标宋_GBK"/>
          <w:color w:val="000000"/>
          <w:spacing w:val="-6"/>
          <w:kern w:val="0"/>
          <w:sz w:val="42"/>
          <w:szCs w:val="24"/>
        </w:rPr>
      </w:pPr>
      <w:r>
        <w:rPr>
          <w:rFonts w:ascii="方正小标宋_GBK" w:eastAsia="方正小标宋_GBK" w:hint="eastAsia"/>
          <w:color w:val="000000"/>
          <w:spacing w:val="-6"/>
          <w:kern w:val="0"/>
          <w:sz w:val="42"/>
          <w:szCs w:val="24"/>
        </w:rPr>
        <w:t>取消“商用密码产品生产单位审批”后的</w:t>
      </w:r>
    </w:p>
    <w:p w:rsidR="000803AE" w:rsidRDefault="000803AE" w:rsidP="000803AE">
      <w:pPr>
        <w:autoSpaceDE w:val="0"/>
        <w:autoSpaceDN w:val="0"/>
        <w:adjustRightInd w:val="0"/>
        <w:spacing w:line="671" w:lineRule="exact"/>
        <w:jc w:val="center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小标宋_GBK" w:eastAsia="方正小标宋_GBK" w:hint="eastAsia"/>
          <w:color w:val="000000"/>
          <w:spacing w:val="-6"/>
          <w:kern w:val="0"/>
          <w:sz w:val="42"/>
          <w:szCs w:val="24"/>
        </w:rPr>
        <w:t>事中事后监管措施</w:t>
      </w:r>
    </w:p>
    <w:p w:rsidR="000803AE" w:rsidRDefault="000803AE" w:rsidP="000803AE">
      <w:pPr>
        <w:autoSpaceDE w:val="0"/>
        <w:autoSpaceDN w:val="0"/>
        <w:adjustRightInd w:val="0"/>
        <w:spacing w:line="445" w:lineRule="exact"/>
        <w:ind w:firstLine="64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根据《国务院关于取消一批行政许可事项的决定》（国发〔2017〕46号），取消“商用密码产品生产单位审批 ”行政许可事项，采取以下措施加强事中事后监管。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一、强化商用密码产品品种型号审批。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加强商用密码产品审批管理，强化对商用密码产品生产企业生产能力和质量保证能力核查，确保审批的商用密码产品的质量。修订完善商用密码产品标准规范，公开发布标准规范文本。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二、加大商用密码产品“双随机”抽查力度。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全面落实“双随机一公开”制度，完善抽查内容和方式,及时向社会公开发布抽查情况和抽查结果，对抽查中发现的问题提出整改要求,并对整改情况进行跟踪核查。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三、充分发挥行业组织自律作用。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积极推进商用密码行业协会/联盟建设，引导、鼓励商用密码产品生产企业自愿加入行业协会</w:t>
      </w:r>
      <w:r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  <w:t>/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联盟，推行诚信公约，发挥行业自律作用，探索实行商用密码产品生产企业承诺制度。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四、建立信用体系，实行“黑名单”制度，加强社会监督。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将行政审批结果、监督检查情况等情况及时向社会公示，同时将经查实的失信企业列入“黑名单”，进行重点监控，并将信用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lastRenderedPageBreak/>
        <w:t>信息推送至国家企业信用信息公示系统，与相关部门实现信息共享。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五、健全完善投诉举报制度。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完善投诉举报制度，畅通投诉举报渠道，明确投诉举报处理流程。对群众的投诉举报，属于职权范围的，及时受理，认真调查核实，并在法定期限内处理、答复。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六、加大违法违规查处力度。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对商用密码产品生产企业违反商用密码管理法规行为的，依照相关法律法规予以处理，公开处理结果，增强执法威慑力。</w:t>
      </w:r>
    </w:p>
    <w:p w:rsidR="000803AE" w:rsidRDefault="000803AE" w:rsidP="000803AE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七、加强政策宣传解读。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通过门户网站发布政策法规，列明示范文本、服务指南、常见问题等。通过电话、网络等多种途径，解答疑难问题，引导商用密码产品生产企业依法依规生产商用密码产品。</w:t>
      </w:r>
    </w:p>
    <w:p w:rsidR="008B08AC" w:rsidRPr="000803AE" w:rsidRDefault="008B08AC" w:rsidP="00B75DB9">
      <w:pPr>
        <w:autoSpaceDE w:val="0"/>
        <w:autoSpaceDN w:val="0"/>
        <w:adjustRightInd w:val="0"/>
        <w:spacing w:line="571" w:lineRule="exact"/>
        <w:ind w:firstLine="3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</w:p>
    <w:sectPr w:rsidR="008B08AC" w:rsidRPr="000803AE" w:rsidSect="0030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BF" w:rsidRDefault="00BB52BF" w:rsidP="00B75DB9">
      <w:r>
        <w:separator/>
      </w:r>
    </w:p>
  </w:endnote>
  <w:endnote w:type="continuationSeparator" w:id="1">
    <w:p w:rsidR="00BB52BF" w:rsidRDefault="00BB52BF" w:rsidP="00B7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宋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BF" w:rsidRDefault="00BB52BF" w:rsidP="00B75DB9">
      <w:r>
        <w:separator/>
      </w:r>
    </w:p>
  </w:footnote>
  <w:footnote w:type="continuationSeparator" w:id="1">
    <w:p w:rsidR="00BB52BF" w:rsidRDefault="00BB52BF" w:rsidP="00B7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B9"/>
    <w:rsid w:val="000803AE"/>
    <w:rsid w:val="003040EA"/>
    <w:rsid w:val="008B08AC"/>
    <w:rsid w:val="00B75DB9"/>
    <w:rsid w:val="00B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394</Characters>
  <Application>Microsoft Office Word</Application>
  <DocSecurity>0</DocSecurity>
  <Lines>26</Lines>
  <Paragraphs>13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周</cp:lastModifiedBy>
  <cp:revision>3</cp:revision>
  <dcterms:created xsi:type="dcterms:W3CDTF">2017-10-12T08:23:00Z</dcterms:created>
  <dcterms:modified xsi:type="dcterms:W3CDTF">2017-10-12T08:32:00Z</dcterms:modified>
</cp:coreProperties>
</file>